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B79EB" w:rsidRPr="00DB79EB" w:rsidTr="00DB79E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B79EB" w:rsidRDefault="00DB79EB" w:rsidP="00DB79EB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DB79E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Вице-губернаторы во главе отраслевых рабочих групп определили приоритетные направления Стратегии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–</w:t>
            </w:r>
            <w:r w:rsidRPr="00DB79E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2035</w:t>
            </w:r>
          </w:p>
          <w:p w:rsidR="00DB79EB" w:rsidRPr="00DB79EB" w:rsidRDefault="00DB79EB" w:rsidP="00DB79EB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DB79EB" w:rsidRPr="00DB79EB" w:rsidTr="00DB79E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B79EB" w:rsidRPr="00DB79EB" w:rsidRDefault="00DB79EB" w:rsidP="00DB79E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DB79EB" w:rsidRPr="00DB79EB" w:rsidRDefault="00DB79EB" w:rsidP="00DB79EB">
      <w:pPr>
        <w:shd w:val="clear" w:color="auto" w:fill="F1F6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Правительстве Челябинской области продолжается работа по формированию приоритетов, целей и задач Стратегии развития региона до 2035 года. Прошли заседания семи отраслевых рабочих групп, возглавляемых вице-губернаторами области. В конце августа все выработанные приоритеты, цели и задачи </w:t>
      </w:r>
      <w:proofErr w:type="spellStart"/>
      <w:r w:rsidRPr="00DB7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Стреатегии</w:t>
      </w:r>
      <w:proofErr w:type="spellEnd"/>
      <w:r w:rsidRPr="00DB7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2035 представят губернатору Борису Дубровскому на заседании Регионального стратегического комитета с целью последующего вынесения на общественное обсуждение.</w:t>
      </w:r>
    </w:p>
    <w:p w:rsidR="00DB79EB" w:rsidRPr="00DB79EB" w:rsidRDefault="00DB79EB" w:rsidP="00DB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9EB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руководством вице-губернаторов сформировано 7 отраслевых рабочих групп, соответствующих разделам Стратегии развития Челябинской области до 2035 года. Организовано обсуждение приоритетов, целей и задач, которые предложено включить в Стратегию. </w:t>
      </w:r>
      <w:r w:rsidRPr="00DB7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«Каждое </w:t>
      </w:r>
      <w:hyperlink r:id="rId4" w:history="1">
        <w:r w:rsidRPr="00DB79EB">
          <w:rPr>
            <w:rFonts w:ascii="Times New Roman" w:eastAsia="Times New Roman" w:hAnsi="Times New Roman" w:cs="Times New Roman"/>
            <w:i/>
            <w:iCs/>
            <w:color w:val="336699"/>
            <w:sz w:val="24"/>
            <w:szCs w:val="24"/>
            <w:u w:val="single"/>
          </w:rPr>
          <w:t>министерство провело стратегические сессии</w:t>
        </w:r>
      </w:hyperlink>
      <w:r w:rsidRPr="00DB7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Что важно, учитывались мнения жителей и предприятий Южного Урала полученные Минэкономразвития в результате анкетирования. Затем все предложения были рассмотрены на коллегиальных рабочих группах. К этой работе было привлечено большое количество участников. Рабочие группы сформированы при органах исполнительной власти из представителей общественности, науки и бизнеса»</w:t>
      </w:r>
      <w:r w:rsidRPr="00DB79EB">
        <w:rPr>
          <w:rFonts w:ascii="Times New Roman" w:eastAsia="Times New Roman" w:hAnsi="Times New Roman" w:cs="Times New Roman"/>
          <w:color w:val="000000"/>
          <w:sz w:val="24"/>
          <w:szCs w:val="24"/>
        </w:rPr>
        <w:t>, - отметил министр экономического развития </w:t>
      </w:r>
      <w:r w:rsidRPr="00DB7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Смольников</w:t>
      </w:r>
      <w:r w:rsidRPr="00DB79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79EB" w:rsidRPr="00DB79EB" w:rsidRDefault="00DB79EB" w:rsidP="00DB79E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Евгений Редин</w:t>
      </w:r>
      <w:r w:rsidRPr="00DB79EB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возглавил рабочую группу, отвечающую за разработку приоритетов, целей и задач по направлению «развитие человеческого капитала и социальной сферы». Рабочие группы по направлениям «экономическое развитие», «развитие научно-инновационной сферы» и «развитие межрегиональных и внешнеэкономических связей» возглавил </w:t>
      </w:r>
      <w:r w:rsidRPr="00DB7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Руслан </w:t>
      </w:r>
      <w:proofErr w:type="spellStart"/>
      <w:r w:rsidRPr="00DB7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Гаттаров</w:t>
      </w:r>
      <w:proofErr w:type="spellEnd"/>
      <w:r w:rsidRPr="00DB79EB">
        <w:rPr>
          <w:rFonts w:ascii="Times New Roman" w:eastAsia="Times New Roman" w:hAnsi="Times New Roman" w:cs="Times New Roman"/>
          <w:color w:val="000000"/>
          <w:sz w:val="24"/>
          <w:szCs w:val="24"/>
        </w:rPr>
        <w:t>. За «пространственное развитие» отвечает </w:t>
      </w:r>
      <w:r w:rsidRPr="00DB7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Шаль</w:t>
      </w:r>
      <w:r w:rsidRPr="00DB79EB">
        <w:rPr>
          <w:rFonts w:ascii="Times New Roman" w:eastAsia="Times New Roman" w:hAnsi="Times New Roman" w:cs="Times New Roman"/>
          <w:color w:val="000000"/>
          <w:sz w:val="24"/>
          <w:szCs w:val="24"/>
        </w:rPr>
        <w:t>, «рациональное природопользование и обеспечение экологической безопасности» - </w:t>
      </w:r>
      <w:r w:rsidRPr="00DB7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Олег Климов</w:t>
      </w:r>
      <w:r w:rsidRPr="00DB79EB">
        <w:rPr>
          <w:rFonts w:ascii="Times New Roman" w:eastAsia="Times New Roman" w:hAnsi="Times New Roman" w:cs="Times New Roman"/>
          <w:color w:val="000000"/>
          <w:sz w:val="24"/>
          <w:szCs w:val="24"/>
        </w:rPr>
        <w:t>, за «государственное управление и государственные услуги» - </w:t>
      </w:r>
      <w:r w:rsidRPr="00DB7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Евгений Голицын</w:t>
      </w:r>
      <w:r w:rsidRPr="00DB79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79EB" w:rsidRPr="00DB79EB" w:rsidRDefault="00DB79EB" w:rsidP="00DB79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9EB"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своих заседаниях каждая отраслевая рабочая группа рассматривала итоги работы коллегиальных рабочих групп. По итогам заседаний вице-губернаторы утвердили перечни приоритетов, целей и задач по каждому направлению Стратегии. Они соответствуют приоритетам, обозначенным в федеральных документах и в </w:t>
      </w:r>
      <w:hyperlink r:id="rId5" w:history="1">
        <w:r w:rsidRPr="00DB79EB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Послании губернатора </w:t>
        </w:r>
        <w:r w:rsidRPr="00DB79EB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</w:rPr>
          <w:t>Бориса Дубровского</w:t>
        </w:r>
        <w:r w:rsidRPr="00DB79EB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 депутатам областного Законодательного Собрания</w:t>
        </w:r>
      </w:hyperlink>
      <w:r w:rsidRPr="00DB79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79EB" w:rsidRPr="00DB79EB" w:rsidRDefault="00DB79EB" w:rsidP="00DB79E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«Министерством экономического развития была полностью подготовлена методология для органов исполнительной власти и отраслевых рабочих групп с пошаговым алгоритмом разработки приоритетов, целей и задач, формой их презентации и докладов. В конце августа выработанные всеми органами исполнительной власти приоритеты, цели и задачи Стратегии - 2035 мы представим на заседании Регионального стратегического комитета под председательством губернатора </w:t>
      </w:r>
      <w:r w:rsidRPr="00DB79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Бориса Дубровского</w:t>
      </w:r>
      <w:r w:rsidRPr="00DB79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 целью последующего вынесения на общественное обсуждение»,</w:t>
      </w:r>
      <w:r w:rsidRPr="00DB79EB">
        <w:rPr>
          <w:rFonts w:ascii="Times New Roman" w:eastAsia="Times New Roman" w:hAnsi="Times New Roman" w:cs="Times New Roman"/>
          <w:color w:val="000000"/>
          <w:sz w:val="24"/>
          <w:szCs w:val="24"/>
        </w:rPr>
        <w:t> - отметила первый заместитель министра экономического развития </w:t>
      </w:r>
      <w:r w:rsidRPr="00DB7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Наталья </w:t>
      </w:r>
      <w:proofErr w:type="spellStart"/>
      <w:r w:rsidRPr="00DB7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Лугачёва</w:t>
      </w:r>
      <w:proofErr w:type="spellEnd"/>
      <w:r w:rsidRPr="00DB79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0EA8" w:rsidRDefault="007E0EA8"/>
    <w:sectPr w:rsidR="007E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9EB"/>
    <w:rsid w:val="007E0EA8"/>
    <w:rsid w:val="00DB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7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79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B79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DB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B79EB"/>
    <w:rPr>
      <w:i/>
      <w:iCs/>
    </w:rPr>
  </w:style>
  <w:style w:type="character" w:styleId="a6">
    <w:name w:val="Strong"/>
    <w:basedOn w:val="a0"/>
    <w:uiPriority w:val="22"/>
    <w:qFormat/>
    <w:rsid w:val="00DB79E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bernator74.ru/news/gubernator-boris-dubrovskiy-oboznachil-vektor-razvitiya-chelyabinskoy-oblasti-do-2035-goda" TargetMode="External"/><Relationship Id="rId4" Type="http://schemas.openxmlformats.org/officeDocument/2006/relationships/hyperlink" Target="http://www.econom-chelreg.ru/news?news=3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2017-08-09T05:12:00Z</dcterms:created>
  <dcterms:modified xsi:type="dcterms:W3CDTF">2017-08-09T05:14:00Z</dcterms:modified>
</cp:coreProperties>
</file>